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Emploi du temps de la 3</w:t>
      </w:r>
      <w:r>
        <w:rPr>
          <w:b/>
          <w:bCs/>
          <w:sz w:val="32"/>
          <w:szCs w:val="32"/>
          <w:vertAlign w:val="superscript"/>
        </w:rPr>
        <w:t>ème</w:t>
      </w:r>
      <w:r>
        <w:rPr>
          <w:b/>
          <w:bCs/>
          <w:sz w:val="32"/>
          <w:szCs w:val="32"/>
        </w:rPr>
        <w:t xml:space="preserve">Année </w:t>
      </w:r>
      <w:r>
        <w:rPr>
          <w:b/>
          <w:bCs/>
          <w:sz w:val="32"/>
          <w:szCs w:val="32"/>
          <w:vertAlign w:val="superscript"/>
        </w:rPr>
        <w:t xml:space="preserve"> </w:t>
      </w:r>
      <w:r>
        <w:rPr>
          <w:b/>
          <w:bCs/>
          <w:sz w:val="32"/>
          <w:szCs w:val="32"/>
        </w:rPr>
        <w:t>Licence Maintenance Industrielle 2022/2023</w:t>
        <w:tab/>
      </w:r>
      <w:r>
        <w:rPr>
          <w:b/>
          <w:bCs/>
          <w:sz w:val="36"/>
          <w:szCs w:val="36"/>
        </w:rPr>
        <w:t>*(S2)*</w:t>
        <w:tab/>
        <w:t>Salle L3.7</w:t>
      </w:r>
    </w:p>
    <w:tbl>
      <w:tblPr>
        <w:tblW w:w="143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34"/>
        <w:gridCol w:w="3386"/>
        <w:gridCol w:w="3117"/>
        <w:gridCol w:w="2411"/>
        <w:gridCol w:w="425"/>
        <w:gridCol w:w="3543"/>
      </w:tblGrid>
      <w:tr>
        <w:trPr>
          <w:trHeight w:val="668" w:hRule="atLeast"/>
        </w:trPr>
        <w:tc>
          <w:tcPr>
            <w:tcW w:w="1434" w:type="dxa"/>
            <w:tcBorders>
              <w:bottom w:val="single" w:sz="1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8h-9h30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9h30-11h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11h-12h30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14h-15h30</w:t>
            </w:r>
          </w:p>
        </w:tc>
      </w:tr>
      <w:tr>
        <w:trPr>
          <w:trHeight w:val="1217" w:hRule="atLeast"/>
        </w:trPr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33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 w:cstheme="majorBidi"/>
                <w:highlight w:val="none"/>
                <w:shd w:fill="FFFF00" w:val="clear"/>
              </w:rPr>
            </w:pPr>
            <w:r>
              <w:rPr>
                <w:rFonts w:cs="Times New Roman" w:cstheme="majorBidi"/>
                <w:b/>
                <w:bCs/>
                <w:shd w:fill="FFFF00" w:val="clear"/>
              </w:rPr>
              <w:t xml:space="preserve">Cours </w:t>
            </w:r>
          </w:p>
          <w:p>
            <w:pPr>
              <w:pStyle w:val="Normal"/>
              <w:widowControl w:val="false"/>
              <w:jc w:val="center"/>
              <w:rPr>
                <w:rFonts w:cs="Times New Roman" w:cstheme="majorBidi"/>
                <w:highlight w:val="none"/>
                <w:shd w:fill="FFFF00" w:val="clear"/>
              </w:rPr>
            </w:pPr>
            <w:r>
              <w:rPr>
                <w:rFonts w:cs="Times New Roman" w:cstheme="majorBidi"/>
                <w:b/>
                <w:bCs/>
                <w:shd w:fill="FFFF00" w:val="clear"/>
              </w:rPr>
              <w:t>Traitement de signal</w:t>
            </w:r>
          </w:p>
          <w:p>
            <w:pPr>
              <w:pStyle w:val="Normal"/>
              <w:widowControl w:val="false"/>
              <w:jc w:val="center"/>
              <w:rPr>
                <w:rFonts w:cs="Times New Roman" w:cstheme="majorBidi"/>
                <w:highlight w:val="none"/>
                <w:shd w:fill="FFFF00" w:val="clear"/>
              </w:rPr>
            </w:pPr>
            <w:r>
              <w:rPr>
                <w:rFonts w:cs="Times New Roman" w:cstheme="majorBidi"/>
                <w:b/>
                <w:bCs/>
                <w:shd w:fill="FFFF00" w:val="clear"/>
              </w:rPr>
              <w:t>XXXXX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</w:rPr>
            </w:pPr>
            <w:r>
              <w:rPr>
                <w:rFonts w:cs="Times New Roman" w:cstheme="majorBidi"/>
                <w:b/>
                <w:bCs/>
              </w:rPr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rFonts w:eastAsia="LiberationSerif-Regular" w:cs="LiberationSerif-Regular" w:ascii="Cambria" w:hAnsi="Cambria"/>
                <w:b/>
                <w:bCs/>
                <w:sz w:val="22"/>
                <w:szCs w:val="22"/>
              </w:rPr>
              <w:t>Cours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LiberationSerif-Regular" w:cs="LiberationSerif-Regular"/>
                <w:sz w:val="22"/>
                <w:szCs w:val="22"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>Dynamique des structures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eastAsia="LiberationSerif-Regular" w:cs="LiberationSerif-Regular" w:ascii="Cambria" w:hAnsi="Cambria"/>
                <w:b w:val="false"/>
                <w:bCs w:val="false"/>
                <w:sz w:val="22"/>
                <w:szCs w:val="22"/>
              </w:rPr>
              <w:t>Pr. Ouelaa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bCs/>
              </w:rPr>
            </w:pPr>
            <w:r>
              <w:rPr>
                <w:rFonts w:cs="Times New Roman" w:cstheme="majorBidi"/>
                <w:b/>
                <w:bCs/>
              </w:rPr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LiberationSerif-Regular" w:cs="LiberationSerif-Regular"/>
                <w:sz w:val="22"/>
                <w:szCs w:val="22"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>TD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LiberationSerif-Regular" w:cs="LiberationSerif-Regular"/>
                <w:sz w:val="22"/>
                <w:szCs w:val="22"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>Dynamique des structures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>Pr. Ouelaa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Cours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Moteur à combustion interne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Pr. Kribs</w:t>
            </w:r>
          </w:p>
        </w:tc>
      </w:tr>
      <w:tr>
        <w:trPr>
          <w:trHeight w:val="1217" w:hRule="atLeast"/>
        </w:trPr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33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</w:rPr>
              <w:t>TD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</w:rPr>
              <w:t>Moteur à combustion interne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</w:rPr>
              <w:t>Dr Kribes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Times New Roman" w:cstheme="majorBidi"/>
                <w:highlight w:val="none"/>
                <w:shd w:fill="FFFF00" w:val="clear"/>
              </w:rPr>
            </w:pPr>
            <w:r>
              <w:rPr>
                <w:rFonts w:cs="Times New Roman" w:cstheme="majorBidi"/>
                <w:b/>
                <w:bCs/>
                <w:shd w:fill="FFFF00" w:val="clear"/>
              </w:rPr>
              <w:t>TD</w:t>
            </w:r>
          </w:p>
          <w:p>
            <w:pPr>
              <w:pStyle w:val="Normal"/>
              <w:widowControl w:val="false"/>
              <w:jc w:val="center"/>
              <w:rPr>
                <w:rFonts w:cs="Times New Roman" w:cstheme="majorBidi"/>
                <w:highlight w:val="none"/>
                <w:shd w:fill="FFFF00" w:val="clear"/>
              </w:rPr>
            </w:pPr>
            <w:r>
              <w:rPr>
                <w:rFonts w:cs="Times New Roman" w:cstheme="majorBidi"/>
                <w:b/>
                <w:bCs/>
                <w:shd w:fill="FFFF00" w:val="clear"/>
              </w:rPr>
              <w:t>Traitement de signal</w:t>
            </w:r>
          </w:p>
          <w:p>
            <w:pPr>
              <w:pStyle w:val="Normal"/>
              <w:widowControl w:val="false"/>
              <w:jc w:val="center"/>
              <w:rPr>
                <w:rFonts w:cs="Times New Roman" w:cstheme="majorBidi"/>
                <w:highlight w:val="none"/>
                <w:shd w:fill="FFFF00" w:val="clear"/>
              </w:rPr>
            </w:pPr>
            <w:r>
              <w:rPr>
                <w:rFonts w:eastAsia="LiberationSerif-Regular" w:cs="Times New Roman" w:ascii="Cambria" w:hAnsi="Cambria" w:cstheme="majorBidi"/>
                <w:b/>
                <w:bCs/>
                <w:sz w:val="22"/>
                <w:szCs w:val="22"/>
                <w:shd w:fill="FFFF00" w:val="clear"/>
                <w:lang w:bidi="ar-DZ"/>
              </w:rPr>
              <w:t>XXXXX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LiberationSerif-Regular" w:cs="LiberationSerif-Regular"/>
                <w:sz w:val="22"/>
                <w:szCs w:val="22"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cs="Times New Roman" w:cstheme="majorBidi"/>
                <w:b w:val="false"/>
                <w:bCs w:val="false"/>
              </w:rPr>
              <w:t xml:space="preserve">TP 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cs="Times New Roman" w:cstheme="majorBidi"/>
                <w:b w:val="false"/>
                <w:bCs w:val="false"/>
              </w:rPr>
              <w:t>Réparation et intervention/MCI</w:t>
            </w:r>
          </w:p>
          <w:p>
            <w:pPr>
              <w:pStyle w:val="Normal"/>
              <w:widowControl w:val="false"/>
              <w:jc w:val="center"/>
              <w:rPr>
                <w:b w:val="false"/>
                <w:bCs w:val="false"/>
              </w:rPr>
            </w:pPr>
            <w:r>
              <w:rPr>
                <w:rFonts w:cs="Times New Roman" w:cstheme="majorBidi"/>
                <w:b w:val="false"/>
                <w:bCs w:val="false"/>
              </w:rPr>
              <w:t>M. Merabti</w:t>
            </w:r>
          </w:p>
        </w:tc>
      </w:tr>
      <w:tr>
        <w:trPr>
          <w:trHeight w:val="1109" w:hRule="atLeast"/>
        </w:trPr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33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 xml:space="preserve">Cours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Robotique industrielle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Arial" w:asciiTheme="majorBidi" w:cstheme="minorBidi" w:hAnsiTheme="majorBidi"/>
                <w:bCs/>
                <w:lang w:bidi="ar-DZ"/>
              </w:rPr>
            </w:pPr>
            <w:r>
              <w:rPr>
                <w:rFonts w:cs="Arial" w:cstheme="minorBidi"/>
                <w:bCs/>
                <w:lang w:bidi="ar-DZ"/>
              </w:rPr>
              <w:t>Pr. Djebala</w:t>
            </w:r>
            <w:r>
              <w:rPr>
                <w:rFonts w:cs="Times New Roman" w:cstheme="majorBidi"/>
                <w:bCs/>
              </w:rPr>
              <w:t xml:space="preserve"> 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Cours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Outil de maintenance préventive conditionnelle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Pr. Ouelaa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Arial" w:asciiTheme="majorBidi" w:cstheme="minorBidi" w:hAnsiTheme="majorBidi"/>
                <w:bCs/>
                <w:lang w:bidi="ar-DZ"/>
              </w:rPr>
            </w:pPr>
            <w:r>
              <w:rPr>
                <w:rFonts w:cs="Arial" w:cstheme="minorBidi"/>
                <w:bCs/>
                <w:lang w:bidi="ar-DZ"/>
              </w:rPr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</w:r>
          </w:p>
        </w:tc>
      </w:tr>
      <w:tr>
        <w:trPr>
          <w:trHeight w:val="1217" w:hRule="atLeast"/>
        </w:trPr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338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Cours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Arial" w:asciiTheme="majorBidi" w:cstheme="minorBidi" w:hAnsiTheme="majorBidi"/>
                <w:bCs/>
                <w:lang w:bidi="ar-DZ"/>
              </w:rPr>
            </w:pPr>
            <w:r>
              <w:rPr>
                <w:rFonts w:cs="Arial" w:cstheme="minorBidi"/>
                <w:bCs/>
                <w:lang w:bidi="ar-DZ"/>
              </w:rPr>
              <w:t>Fiabilité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</w:rPr>
            </w:pPr>
            <w:r>
              <w:rPr>
                <w:rFonts w:cs="Arial" w:cstheme="minorBidi"/>
                <w:bCs/>
                <w:lang w:bidi="ar-DZ"/>
              </w:rPr>
              <w:t>Pr. Djebala</w:t>
            </w:r>
            <w:r>
              <w:rPr>
                <w:rFonts w:cs="Times New Roman" w:cstheme="majorBidi"/>
                <w:bCs/>
              </w:rPr>
              <w:t xml:space="preserve"> 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Cours Technologie des machines thermiques et hydraulique.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/>
              <w:t xml:space="preserve">Dr Frioui 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TD Technologie des machines thermiques et hydraulique.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/>
              <w:t>Dr Frioui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</w:rPr>
            </w:pPr>
            <w:r>
              <w:rPr>
                <w:rFonts w:cs="Times New Roman" w:cstheme="majorBidi"/>
                <w:b/>
              </w:rPr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</w:rPr>
            </w:pPr>
            <w:r>
              <w:rPr>
                <w:rFonts w:cs="Times New Roman" w:cstheme="majorBidi"/>
                <w:b/>
              </w:rPr>
            </w:r>
          </w:p>
        </w:tc>
      </w:tr>
      <w:tr>
        <w:trPr>
          <w:trHeight w:val="1217" w:hRule="atLeast"/>
        </w:trPr>
        <w:tc>
          <w:tcPr>
            <w:tcW w:w="14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33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 xml:space="preserve">Cours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 xml:space="preserve">Asservissement et régulation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</w:rPr>
              <w:t xml:space="preserve">Dr Soualmia 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mbria" w:hAnsi="Cambria" w:eastAsia="LiberationSerif-Regular" w:cs="LiberationSerif-Regular"/>
                <w:sz w:val="22"/>
                <w:szCs w:val="22"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 xml:space="preserve">Cours </w:t>
            </w:r>
          </w:p>
          <w:p>
            <w:pPr>
              <w:pStyle w:val="Normal"/>
              <w:widowControl w:val="false"/>
              <w:jc w:val="center"/>
              <w:rPr>
                <w:rFonts w:ascii="Cambria" w:hAnsi="Cambria" w:eastAsia="LiberationSerif-Regular" w:cs="LiberationSerif-Regular"/>
                <w:sz w:val="22"/>
                <w:szCs w:val="22"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>Projet Professionnel et gestion d’entreprise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eastAsia="LiberationSerif-Regular" w:cs="LiberationSerif-Regular" w:ascii="Cambria" w:hAnsi="Cambria"/>
                <w:sz w:val="22"/>
                <w:szCs w:val="22"/>
              </w:rPr>
              <w:t>Mlle Djaafri</w:t>
            </w:r>
          </w:p>
        </w:tc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 xml:space="preserve">TD Asservissement et régulation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Cs/>
              </w:rPr>
            </w:pPr>
            <w:r>
              <w:rPr>
                <w:rFonts w:cs="Times New Roman" w:cstheme="majorBidi"/>
                <w:bCs/>
              </w:rPr>
              <w:t>Dr Soualmia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</w:rPr>
            </w:pPr>
            <w:r>
              <w:rPr>
                <w:rFonts w:cs="Times New Roman" w:cstheme="majorBidi"/>
              </w:rPr>
            </w:r>
          </w:p>
        </w:tc>
        <w:tc>
          <w:tcPr>
            <w:tcW w:w="4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color w:val="FF0000"/>
              </w:rPr>
            </w:pPr>
            <w:r>
              <w:rPr>
                <w:rFonts w:cs="Times New Roman" w:cstheme="majorBidi"/>
                <w:b/>
                <w:color w:val="FF0000"/>
              </w:rPr>
            </w:r>
          </w:p>
        </w:tc>
        <w:tc>
          <w:tcPr>
            <w:tcW w:w="35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 w:asciiTheme="majorBidi" w:cstheme="majorBidi" w:hAnsiTheme="majorBidi"/>
                <w:b/>
                <w:color w:val="FF0000"/>
              </w:rPr>
            </w:pPr>
            <w:r>
              <w:rPr>
                <w:rFonts w:cs="Times New Roman" w:cstheme="majorBidi"/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41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5608"/>
      <w:gridCol w:w="1793"/>
      <w:gridCol w:w="3012"/>
    </w:tblGrid>
    <w:tr>
      <w:trPr>
        <w:trHeight w:val="1669" w:hRule="atLeast"/>
      </w:trPr>
      <w:tc>
        <w:tcPr>
          <w:tcW w:w="5608" w:type="dxa"/>
          <w:tcBorders>
            <w:bottom w:val="thickThinSmallGap" w:sz="24" w:space="0" w:color="008000"/>
          </w:tcBorders>
        </w:tcPr>
        <w:p>
          <w:pPr>
            <w:pStyle w:val="Normal"/>
            <w:widowControl w:val="false"/>
            <w:rPr>
              <w:rFonts w:ascii="Georgia" w:hAnsi="Georgia" w:cs="Tahoma"/>
              <w:b/>
              <w:bCs/>
              <w:sz w:val="20"/>
              <w:szCs w:val="20"/>
            </w:rPr>
          </w:pPr>
          <w:r>
            <w:rPr>
              <w:rFonts w:cs="Tahoma" w:ascii="Georgia" w:hAnsi="Georgia"/>
              <w:b/>
              <w:bCs/>
              <w:sz w:val="20"/>
              <w:szCs w:val="20"/>
            </w:rPr>
            <w:t>République Algérienne Démocratique et populaire</w:t>
          </w:r>
        </w:p>
        <w:p>
          <w:pPr>
            <w:pStyle w:val="Normal"/>
            <w:widowControl w:val="false"/>
            <w:spacing w:before="120" w:after="0"/>
            <w:rPr>
              <w:rFonts w:ascii="Georgia" w:hAnsi="Georgia" w:cs="Tahoma"/>
              <w:b/>
              <w:bCs/>
              <w:sz w:val="20"/>
              <w:szCs w:val="20"/>
            </w:rPr>
          </w:pPr>
          <w:r>
            <w:rPr>
              <w:rFonts w:cs="Tahoma" w:ascii="Georgia" w:hAnsi="Georgia"/>
              <w:b/>
              <w:bCs/>
              <w:sz w:val="20"/>
              <w:szCs w:val="20"/>
            </w:rPr>
            <w:t>Ministère de l’Enseignement Supérieur et de la Recherche Scientifique</w:t>
          </w:r>
        </w:p>
        <w:p>
          <w:pPr>
            <w:pStyle w:val="Normal"/>
            <w:widowControl w:val="false"/>
            <w:spacing w:before="120" w:after="0"/>
            <w:rPr>
              <w:rFonts w:ascii="Georgia" w:hAnsi="Georgia" w:cs="Tahoma"/>
              <w:b/>
              <w:bCs/>
              <w:sz w:val="20"/>
              <w:szCs w:val="20"/>
            </w:rPr>
          </w:pPr>
          <w:r>
            <w:rPr>
              <w:rFonts w:cs="Tahoma" w:ascii="Georgia" w:hAnsi="Georgia"/>
              <w:b/>
              <w:bCs/>
              <w:sz w:val="20"/>
              <w:szCs w:val="20"/>
            </w:rPr>
            <w:t>Université 08 mai 1945 GUELMA</w:t>
          </w:r>
        </w:p>
        <w:p>
          <w:pPr>
            <w:pStyle w:val="Normal"/>
            <w:widowControl w:val="false"/>
            <w:spacing w:before="120" w:after="0"/>
            <w:rPr>
              <w:rFonts w:ascii="Georgia" w:hAnsi="Georgia" w:cs="Tahoma"/>
              <w:b/>
              <w:bCs/>
              <w:sz w:val="20"/>
              <w:szCs w:val="20"/>
            </w:rPr>
          </w:pPr>
          <w:r>
            <w:rPr>
              <w:rFonts w:cs="Tahoma" w:ascii="Georgia" w:hAnsi="Georgia"/>
              <w:b/>
              <w:bCs/>
              <w:sz w:val="20"/>
              <w:szCs w:val="20"/>
            </w:rPr>
            <w:t>Faculté des Sciences et de la Technologie</w:t>
          </w:r>
        </w:p>
        <w:p>
          <w:pPr>
            <w:pStyle w:val="Normal"/>
            <w:widowControl w:val="false"/>
            <w:spacing w:before="120" w:after="0"/>
            <w:rPr>
              <w:rFonts w:ascii="Arial" w:hAnsi="Arial" w:cs="Arial"/>
              <w:b/>
              <w:bCs/>
              <w:szCs w:val="28"/>
            </w:rPr>
          </w:pPr>
          <w:r>
            <w:rPr>
              <w:rFonts w:cs="Tahoma" w:ascii="Georgia" w:hAnsi="Georgia"/>
              <w:b/>
              <w:bCs/>
              <w:sz w:val="20"/>
              <w:szCs w:val="20"/>
            </w:rPr>
            <w:t>Département de Génie Mécanique</w:t>
          </w:r>
        </w:p>
      </w:tc>
      <w:tc>
        <w:tcPr>
          <w:tcW w:w="1793" w:type="dxa"/>
          <w:tcBorders>
            <w:bottom w:val="thickThinSmallGap" w:sz="24" w:space="0" w:color="008000"/>
          </w:tcBorders>
        </w:tcPr>
        <w:p>
          <w:pPr>
            <w:pStyle w:val="Normal"/>
            <w:widowControl w:val="false"/>
            <w:rPr>
              <w:rFonts w:ascii="Arial" w:hAnsi="Arial" w:cs="Arial"/>
              <w:szCs w:val="28"/>
            </w:rPr>
          </w:pPr>
          <w:r>
            <w:rPr>
              <w:rFonts w:cs="Arial" w:ascii="Arial" w:hAnsi="Arial"/>
              <w:szCs w:val="28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-1521460</wp:posOffset>
                </wp:positionH>
                <wp:positionV relativeFrom="paragraph">
                  <wp:posOffset>200660</wp:posOffset>
                </wp:positionV>
                <wp:extent cx="946785" cy="909955"/>
                <wp:effectExtent l="0" t="0" r="0" b="0"/>
                <wp:wrapSquare wrapText="bothSides"/>
                <wp:docPr id="1" name="Imag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90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widowControl w:val="false"/>
            <w:rPr>
              <w:rFonts w:ascii="Arial" w:hAnsi="Arial" w:cs="Arial"/>
              <w:szCs w:val="28"/>
            </w:rPr>
          </w:pPr>
          <w:r>
            <w:rPr>
              <w:rFonts w:cs="Arial" w:ascii="Arial" w:hAnsi="Arial"/>
              <w:szCs w:val="28"/>
            </w:rPr>
          </w:r>
        </w:p>
      </w:tc>
      <w:tc>
        <w:tcPr>
          <w:tcW w:w="3012" w:type="dxa"/>
          <w:tcBorders>
            <w:bottom w:val="thickThinSmallGap" w:sz="24" w:space="0" w:color="008000"/>
          </w:tcBorders>
        </w:tcPr>
        <w:p>
          <w:pPr>
            <w:pStyle w:val="Titre8"/>
            <w:widowControl w:val="false"/>
            <w:spacing w:before="0" w:after="0"/>
            <w:jc w:val="right"/>
            <w:rPr>
              <w:rFonts w:cs="Traditional Arabic"/>
              <w:b/>
              <w:bCs/>
              <w:i w:val="false"/>
              <w:i w:val="false"/>
              <w:iCs w:val="false"/>
              <w:sz w:val="26"/>
              <w:szCs w:val="26"/>
            </w:rPr>
          </w:pPr>
          <w:r>
            <w:rPr>
              <w:rFonts w:cs="Traditional Arabic"/>
              <w:b/>
              <w:b/>
              <w:bCs/>
              <w:i w:val="false"/>
              <w:i w:val="false"/>
              <w:iCs w:val="false"/>
              <w:sz w:val="26"/>
              <w:sz w:val="26"/>
              <w:szCs w:val="26"/>
              <w:rtl w:val="true"/>
            </w:rPr>
            <w:t>الجمهورية الجزائرية الديمقراطية الشعبية</w:t>
          </w:r>
        </w:p>
        <w:p>
          <w:pPr>
            <w:pStyle w:val="Titre8"/>
            <w:widowControl w:val="false"/>
            <w:spacing w:before="0" w:after="0"/>
            <w:jc w:val="right"/>
            <w:rPr>
              <w:rFonts w:cs="Traditional Arabic"/>
              <w:b/>
              <w:bCs/>
              <w:i w:val="false"/>
              <w:i w:val="false"/>
              <w:iCs w:val="false"/>
              <w:sz w:val="26"/>
              <w:szCs w:val="26"/>
            </w:rPr>
          </w:pPr>
          <w:r>
            <w:rPr>
              <w:rFonts w:cs="Traditional Arabic"/>
              <w:b/>
              <w:b/>
              <w:bCs/>
              <w:i w:val="false"/>
              <w:i w:val="false"/>
              <w:iCs w:val="false"/>
              <w:sz w:val="26"/>
              <w:sz w:val="26"/>
              <w:szCs w:val="26"/>
              <w:rtl w:val="true"/>
            </w:rPr>
            <w:t>وزارة التعليم العالي والبحث العلمي</w:t>
          </w:r>
        </w:p>
        <w:p>
          <w:pPr>
            <w:pStyle w:val="Normal"/>
            <w:widowControl w:val="false"/>
            <w:jc w:val="right"/>
            <w:rPr>
              <w:rFonts w:cs="Traditional Arabic"/>
              <w:b/>
              <w:bCs/>
              <w:sz w:val="26"/>
              <w:szCs w:val="26"/>
            </w:rPr>
          </w:pPr>
          <w:r>
            <w:rPr>
              <w:rFonts w:cs="Traditional Arabic"/>
              <w:b/>
              <w:b/>
              <w:bCs/>
              <w:sz w:val="26"/>
              <w:sz w:val="26"/>
              <w:szCs w:val="26"/>
              <w:rtl w:val="true"/>
            </w:rPr>
            <w:t xml:space="preserve">جـامعـة </w:t>
          </w:r>
          <w:r>
            <w:rPr>
              <w:rFonts w:cs="Traditional Arabic"/>
              <w:b/>
              <w:bCs/>
              <w:sz w:val="26"/>
              <w:szCs w:val="26"/>
            </w:rPr>
            <w:t>8</w:t>
          </w:r>
          <w:r>
            <w:rPr>
              <w:rFonts w:cs="Traditional Arabic"/>
              <w:b/>
              <w:bCs/>
              <w:sz w:val="26"/>
              <w:szCs w:val="26"/>
              <w:rtl w:val="true"/>
            </w:rPr>
            <w:t xml:space="preserve"> </w:t>
          </w:r>
          <w:r>
            <w:rPr>
              <w:rFonts w:cs="Traditional Arabic"/>
              <w:b/>
              <w:b/>
              <w:bCs/>
              <w:sz w:val="26"/>
              <w:sz w:val="26"/>
              <w:szCs w:val="26"/>
              <w:rtl w:val="true"/>
            </w:rPr>
            <w:t xml:space="preserve">ماي </w:t>
          </w:r>
          <w:r>
            <w:rPr>
              <w:rFonts w:cs="Traditional Arabic"/>
              <w:b/>
              <w:bCs/>
              <w:sz w:val="26"/>
              <w:szCs w:val="26"/>
            </w:rPr>
            <w:t>1945</w:t>
          </w:r>
          <w:r>
            <w:rPr>
              <w:rFonts w:cs="Traditional Arabic"/>
              <w:b/>
              <w:bCs/>
              <w:sz w:val="26"/>
              <w:szCs w:val="26"/>
              <w:rtl w:val="true"/>
            </w:rPr>
            <w:t xml:space="preserve"> </w:t>
          </w:r>
          <w:r>
            <w:rPr>
              <w:rFonts w:cs="Traditional Arabic"/>
              <w:b/>
              <w:b/>
              <w:bCs/>
              <w:sz w:val="26"/>
              <w:sz w:val="26"/>
              <w:szCs w:val="26"/>
              <w:rtl w:val="true"/>
            </w:rPr>
            <w:t>قالمـة</w:t>
          </w:r>
        </w:p>
        <w:p>
          <w:pPr>
            <w:pStyle w:val="Normal"/>
            <w:widowControl w:val="false"/>
            <w:jc w:val="right"/>
            <w:rPr>
              <w:rFonts w:cs="Traditional Arabic"/>
              <w:b/>
              <w:bCs/>
              <w:sz w:val="26"/>
              <w:szCs w:val="26"/>
            </w:rPr>
          </w:pPr>
          <w:r>
            <w:rPr>
              <w:rFonts w:cs="Traditional Arabic"/>
              <w:b/>
              <w:b/>
              <w:bCs/>
              <w:sz w:val="26"/>
              <w:sz w:val="26"/>
              <w:szCs w:val="26"/>
              <w:rtl w:val="true"/>
            </w:rPr>
            <w:t>كلية العلوم والتكنولوجيا</w:t>
          </w:r>
        </w:p>
        <w:p>
          <w:pPr>
            <w:pStyle w:val="Normal"/>
            <w:widowControl w:val="false"/>
            <w:jc w:val="right"/>
            <w:rPr>
              <w:rFonts w:ascii="Arial" w:hAnsi="Arial" w:cs="Arial"/>
              <w:b/>
              <w:bCs/>
              <w:i/>
              <w:i/>
              <w:iCs/>
              <w:sz w:val="32"/>
              <w:szCs w:val="38"/>
              <w:lang w:bidi="ar-DZ"/>
            </w:rPr>
          </w:pPr>
          <w:r>
            <w:rPr>
              <w:rFonts w:cs="Traditional Arabic"/>
              <w:b/>
              <w:b/>
              <w:bCs/>
              <w:sz w:val="26"/>
              <w:sz w:val="26"/>
              <w:szCs w:val="26"/>
              <w:rtl w:val="true"/>
            </w:rPr>
            <w:t>قسم الهندسة الميكانيك</w:t>
          </w:r>
          <w:r>
            <w:rPr>
              <w:rFonts w:cs="Traditional Arabic"/>
              <w:b/>
              <w:b/>
              <w:bCs/>
              <w:sz w:val="26"/>
              <w:sz w:val="26"/>
              <w:szCs w:val="26"/>
              <w:rtl w:val="true"/>
              <w:lang w:bidi="ar-DZ"/>
            </w:rPr>
            <w:t>ية</w:t>
          </w:r>
        </w:p>
      </w:tc>
    </w:tr>
  </w:tbl>
  <w:p>
    <w:pPr>
      <w:pStyle w:val="En-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067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fr-FR" w:eastAsia="zh-CN" w:bidi="ar-SA"/>
    </w:rPr>
  </w:style>
  <w:style w:type="paragraph" w:styleId="Titre8">
    <w:name w:val="Heading 8"/>
    <w:basedOn w:val="Normal"/>
    <w:next w:val="Normal"/>
    <w:qFormat/>
    <w:rsid w:val="0040671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rsid w:val="00406711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Pieddepage">
    <w:name w:val="Footer"/>
    <w:basedOn w:val="Normal"/>
    <w:rsid w:val="00406711"/>
    <w:pPr>
      <w:tabs>
        <w:tab w:val="clear" w:pos="708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LibreOffice/7.5.2.2$Windows_X86_64 LibreOffice_project/53bb9681a964705cf672590721dbc85eb4d0c3a2</Application>
  <AppVersion>15.0000</AppVersion>
  <Pages>1</Pages>
  <Words>169</Words>
  <Characters>1063</Characters>
  <CharactersWithSpaces>1182</CharactersWithSpaces>
  <Paragraphs>62</Paragraphs>
  <Company>PC Portable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2023-12-07T11:24:00Z</dcterms:created>
  <dc:creator>Administrateur</dc:creator>
  <dc:description/>
  <dc:language>en-US</dc:language>
  <cp:lastModifiedBy/>
  <cp:lastPrinted>2024-02-04T12:26:54Z</cp:lastPrinted>
  <dcterms:modified xsi:type="dcterms:W3CDTF">2024-02-08T15:04:12Z</dcterms:modified>
  <cp:revision>13</cp:revision>
  <dc:subject/>
  <dc:title>Emploi du temps de la 3èmeAnnée  licence Maintenance d’équipements Industriels (MEI)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